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C0" w:rsidRPr="00B731C0" w:rsidRDefault="00B731C0" w:rsidP="00B731C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76985" cy="1345565"/>
            <wp:effectExtent l="0" t="0" r="0" b="6985"/>
            <wp:docPr id="10" name="Рисунок 10" descr="http://www.docload.ru/Basesdoc/7/7402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load.ru/Basesdoc/7/7402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СТАНДАРТ СОЮЗА ССР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ПОДДОНЫ ПЛОСКИЕ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ТЕХНИЧЕСКИЕ УСЛОВИЯ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ГОСТ 9078-84</w:t>
      </w: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(СТ СЭВ 317-76)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ИЗДАТЕЛЬСТВО СТАНДАРТОВ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Москва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7"/>
        <w:gridCol w:w="2937"/>
      </w:tblGrid>
      <w:tr w:rsidR="00B731C0" w:rsidRPr="00B731C0" w:rsidTr="00B731C0">
        <w:trPr>
          <w:jc w:val="center"/>
        </w:trPr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ПОДДОНЫ ПЛОСКИЕ</w:t>
            </w:r>
          </w:p>
          <w:p w:rsidR="00B731C0" w:rsidRPr="00B731C0" w:rsidRDefault="00B731C0" w:rsidP="00B731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технические условия</w:t>
            </w:r>
          </w:p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Flat</w:t>
            </w:r>
            <w:r w:rsidRPr="00B7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pallets</w:t>
            </w:r>
            <w:r w:rsidRPr="00B7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73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specifications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</w:t>
            </w:r>
            <w:r w:rsidRPr="00B73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9078-84</w:t>
            </w:r>
          </w:p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 СЭВ 317-76)</w:t>
            </w:r>
          </w:p>
          <w:p w:rsidR="00B731C0" w:rsidRPr="00B731C0" w:rsidRDefault="00B731C0" w:rsidP="00B731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Взамен</w:t>
            </w:r>
          </w:p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9078-74,</w:t>
            </w:r>
            <w:r w:rsidRPr="00B7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 19812-74 и</w:t>
            </w:r>
            <w:r w:rsidRPr="00B7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 9495-75</w:t>
            </w:r>
          </w:p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плоских поддонов</w:t>
            </w:r>
          </w:p>
        </w:tc>
      </w:tr>
    </w:tbl>
    <w:p w:rsidR="00B731C0" w:rsidRPr="00B731C0" w:rsidRDefault="00B731C0" w:rsidP="00B731C0">
      <w:pPr>
        <w:shd w:val="clear" w:color="auto" w:fill="FFFFFF"/>
        <w:spacing w:before="120" w:after="12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 </w:t>
      </w:r>
      <w:r w:rsidRPr="00B7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01.01.86</w:t>
      </w:r>
    </w:p>
    <w:p w:rsidR="00B731C0" w:rsidRPr="00B731C0" w:rsidRDefault="00B731C0" w:rsidP="00B731C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Постановлением Госстандарта № 2293 от 28.12.91 снято ограничение срока действия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стандарт распространяется на плоские многооборотные поддоны, предназначенные для формирования транспортных пакетов при осуществлении механизированных погрузочно-разгрузочных, транспортных и складских операций.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не распространяется на специализированные поддоны.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соответствует стандарту СЭВ 317-76 в части размера 800</w:t>
      </w:r>
      <w:r w:rsidRPr="00B731C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1200 мм, рекомендации ИСО/Р 329 в части размеров 1200</w:t>
      </w:r>
      <w:r w:rsidRPr="00B731C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1600 и 1200</w:t>
      </w:r>
      <w:r w:rsidRPr="00B731C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1800 мм, и стандарту ИСО 3676 в части размеров 800</w:t>
      </w:r>
      <w:r w:rsidRPr="00B731C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1200 и 1000</w:t>
      </w:r>
      <w:r w:rsidRPr="00B731C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1200 мм</w:t>
      </w:r>
    </w:p>
    <w:p w:rsidR="00B731C0" w:rsidRPr="00B731C0" w:rsidRDefault="00B731C0" w:rsidP="00B731C0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1" w:name="i14202"/>
      <w:r w:rsidRPr="00B731C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1 ТИПЫ, ОСНОВНЫЕ ПАРАМЕТРЫ И РАЗМЕРЫ</w:t>
      </w:r>
      <w:bookmarkEnd w:id="1"/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Типы, основные параметры, размеры и назначение плоских поддонов должны соответствовать указанным в </w:t>
      </w:r>
      <w:hyperlink r:id="rId6" w:anchor="i36329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табл. 1, 2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 </w:t>
      </w:r>
      <w:hyperlink r:id="rId7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черт</w:t>
        </w:r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 </w:t>
        </w:r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1-5</w:t>
        </w:r>
      </w:hyperlink>
      <w:bookmarkStart w:id="2" w:name="i21063"/>
      <w:bookmarkEnd w:id="2"/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Каждый поддон должен иметь условное обозначение.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условное обозначение поддона должны входить: тип, масса брутто в тоннах, материалы, из которых выполнены основные части (Д - для дерева, С - для стали, Л - для легких сплавов, СН - для синтетических материалов, ДС - для дерева и стали, ДЛ - для дерева и легких металлов, СНЛ - для легких металлов и синтетических материалов, СНС - для стали и синтетических материалов) и обозначение настоящего стандарта.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lastRenderedPageBreak/>
        <w:t>Пример условного обозначения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однонастильного четырехзаходного деревянного поддона массой брутто 1,0 т:</w:t>
      </w:r>
    </w:p>
    <w:p w:rsidR="00B731C0" w:rsidRPr="00B731C0" w:rsidRDefault="00B731C0" w:rsidP="00B731C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Поддон П4-1,0 Д ГОСТ 9078-84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i36329"/>
      <w:r w:rsidRPr="00B73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1</w:t>
      </w:r>
      <w:bookmarkEnd w:id="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483"/>
        <w:gridCol w:w="3957"/>
      </w:tblGrid>
      <w:tr w:rsidR="00B731C0" w:rsidRPr="00B731C0" w:rsidTr="00B731C0">
        <w:trPr>
          <w:tblHeader/>
          <w:jc w:val="center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поддона и наименование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размер B</w:t>
            </w:r>
            <w:r w:rsidRPr="00B731C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L, мм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</w:tr>
      <w:tr w:rsidR="00B731C0" w:rsidRPr="00B731C0" w:rsidTr="00B731C0">
        <w:trPr>
          <w:jc w:val="center"/>
        </w:trPr>
        <w:tc>
          <w:tcPr>
            <w:tcW w:w="21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1C0" w:rsidRPr="00B731C0" w:rsidRDefault="00B731C0" w:rsidP="00B73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П2 - однонастильный двухзаходный</w:t>
            </w:r>
          </w:p>
          <w:p w:rsidR="00B731C0" w:rsidRPr="00B731C0" w:rsidRDefault="00B731C0" w:rsidP="00B73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П4 - однонастильный четырехзаходный</w:t>
            </w:r>
          </w:p>
          <w:p w:rsidR="00B731C0" w:rsidRPr="00B731C0" w:rsidRDefault="00B731C0" w:rsidP="00B73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2П4 – двухнастильный четырехзаходный</w:t>
            </w:r>
          </w:p>
          <w:p w:rsidR="00B731C0" w:rsidRPr="00B731C0" w:rsidRDefault="00B731C0" w:rsidP="00B73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2ПО4 - двухнастильный четырехзаходный с окнами в нижнем настиле</w:t>
            </w:r>
          </w:p>
          <w:p w:rsidR="00B731C0" w:rsidRPr="00B731C0" w:rsidRDefault="00B731C0" w:rsidP="00B73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2ПВ2 - двухнастильный двухзаходный с выступами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800Х1200;</w:t>
            </w:r>
          </w:p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1000Х1200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1C0" w:rsidRPr="00B731C0" w:rsidRDefault="00B731C0" w:rsidP="00B73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обращения на всех видах транспорта и внешнеторговых перевозок, преимущественно для транспортирования и складской грузопереработки в общегосударственной системе материально-технического снабжения</w:t>
            </w:r>
          </w:p>
        </w:tc>
      </w:tr>
      <w:tr w:rsidR="00B731C0" w:rsidRPr="00B731C0" w:rsidTr="00B731C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1C0" w:rsidRPr="00B731C0" w:rsidRDefault="00B731C0" w:rsidP="00B73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обращения на всех видах транспорта н внешнеторговых перевозок</w:t>
            </w:r>
          </w:p>
        </w:tc>
      </w:tr>
      <w:tr w:rsidR="00B731C0" w:rsidRPr="00B731C0" w:rsidTr="00B731C0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1C0" w:rsidRPr="00B731C0" w:rsidRDefault="00B731C0" w:rsidP="00B73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2ПВ2 - двухнастильный двухзаходный с выступами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1200Х1600;</w:t>
            </w:r>
          </w:p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1200Х1800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1C0" w:rsidRPr="00B731C0" w:rsidRDefault="00B731C0" w:rsidP="00B73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обращения на водном транспорте, железнодорожном транспорте на открытом подвижном составе и автомобильном транспорте и внешнеторговых перевозок</w:t>
            </w:r>
          </w:p>
        </w:tc>
      </w:tr>
    </w:tbl>
    <w:p w:rsidR="00B731C0" w:rsidRPr="00B731C0" w:rsidRDefault="00B731C0" w:rsidP="00B731C0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2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Размеры в мм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361"/>
        <w:gridCol w:w="90"/>
        <w:gridCol w:w="452"/>
        <w:gridCol w:w="550"/>
        <w:gridCol w:w="550"/>
        <w:gridCol w:w="857"/>
        <w:gridCol w:w="956"/>
        <w:gridCol w:w="547"/>
        <w:gridCol w:w="857"/>
        <w:gridCol w:w="956"/>
        <w:gridCol w:w="547"/>
        <w:gridCol w:w="452"/>
        <w:gridCol w:w="254"/>
        <w:gridCol w:w="353"/>
        <w:gridCol w:w="531"/>
        <w:gridCol w:w="627"/>
      </w:tblGrid>
      <w:tr w:rsidR="00B731C0" w:rsidRPr="00B731C0" w:rsidTr="00B731C0">
        <w:trPr>
          <w:jc w:val="center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поддона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h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73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 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h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73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 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73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 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73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 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73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 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l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l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l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73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 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брутто не более</w:t>
            </w:r>
          </w:p>
        </w:tc>
      </w:tr>
      <w:tr w:rsidR="00B731C0" w:rsidRPr="00B731C0" w:rsidTr="00B731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Pr="00B731C0">
              <w:rPr>
                <w:rFonts w:ascii="Symbol" w:eastAsia="Times New Roman" w:hAnsi="Symbol" w:cs="Times New Roman"/>
                <w:sz w:val="20"/>
                <w:szCs w:val="20"/>
                <w:lang w:val="en-US" w:eastAsia="ru-RU"/>
              </w:rPr>
              <w:t>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B731C0">
              <w:rPr>
                <w:rFonts w:ascii="Symbol" w:eastAsia="Times New Roman" w:hAnsi="Symbol" w:cs="Times New Roman"/>
                <w:sz w:val="20"/>
                <w:szCs w:val="20"/>
                <w:lang w:val="en-US" w:eastAsia="ru-RU"/>
              </w:rPr>
              <w:t>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Pr="00B731C0">
              <w:rPr>
                <w:rFonts w:ascii="Symbol" w:eastAsia="Times New Roman" w:hAnsi="Symbol" w:cs="Times New Roman"/>
                <w:sz w:val="20"/>
                <w:szCs w:val="20"/>
                <w:lang w:val="en-US" w:eastAsia="ru-RU"/>
              </w:rPr>
              <w:t>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B731C0">
              <w:rPr>
                <w:rFonts w:ascii="Symbol" w:eastAsia="Times New Roman" w:hAnsi="Symbol" w:cs="Times New Roman"/>
                <w:sz w:val="20"/>
                <w:szCs w:val="20"/>
                <w:lang w:val="en-US" w:eastAsia="ru-RU"/>
              </w:rPr>
              <w:t></w:t>
            </w: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1C0" w:rsidRPr="00B731C0" w:rsidTr="00B731C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</w:t>
            </w:r>
          </w:p>
        </w:tc>
        <w:tc>
          <w:tcPr>
            <w:tcW w:w="250" w:type="pct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800; 1000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1,00; 1,25</w:t>
            </w:r>
          </w:p>
        </w:tc>
      </w:tr>
      <w:tr w:rsidR="00B731C0" w:rsidRPr="00B731C0" w:rsidTr="00B731C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1C0" w:rsidRPr="00B731C0" w:rsidTr="00B731C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1C0" w:rsidRPr="00B731C0" w:rsidTr="00B731C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2ПО4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1C0" w:rsidRPr="00B731C0" w:rsidTr="00B731C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2ПВ2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1C0" w:rsidRPr="00B731C0" w:rsidTr="00B731C0">
        <w:trPr>
          <w:jc w:val="center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2ПВ2</w:t>
            </w:r>
          </w:p>
        </w:tc>
        <w:tc>
          <w:tcPr>
            <w:tcW w:w="25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2,00; 3,20</w:t>
            </w:r>
          </w:p>
        </w:tc>
      </w:tr>
      <w:tr w:rsidR="00B731C0" w:rsidRPr="00B731C0" w:rsidTr="00B731C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31C0" w:rsidRPr="00B731C0" w:rsidRDefault="00B731C0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1C0" w:rsidRPr="00B731C0" w:rsidTr="00B731C0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1C0" w:rsidRPr="00B731C0" w:rsidRDefault="00B731C0" w:rsidP="00B7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731C0" w:rsidRPr="00B731C0" w:rsidRDefault="00B731C0" w:rsidP="00B731C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i43260"/>
      <w:bookmarkEnd w:id="4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76730" cy="1630680"/>
            <wp:effectExtent l="0" t="0" r="0" b="7620"/>
            <wp:docPr id="9" name="Рисунок 9" descr="http://www.docload.ru/Basesdoc/7/7402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cload.ru/Basesdoc/7/7402/x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C0" w:rsidRPr="00B731C0" w:rsidRDefault="00B731C0" w:rsidP="00B73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Черт. 1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828800" cy="1759585"/>
            <wp:effectExtent l="0" t="0" r="0" b="0"/>
            <wp:docPr id="8" name="Рисунок 8" descr="http://www.docload.ru/Basesdoc/7/7402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cload.ru/Basesdoc/7/7402/x0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C0" w:rsidRPr="00B731C0" w:rsidRDefault="00B731C0" w:rsidP="00B73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Черт. 2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46325" cy="2182495"/>
            <wp:effectExtent l="0" t="0" r="0" b="8255"/>
            <wp:docPr id="7" name="Рисунок 7" descr="http://www.docload.ru/Basesdoc/7/7402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cload.ru/Basesdoc/7/7402/x0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C0" w:rsidRPr="00B731C0" w:rsidRDefault="00B731C0" w:rsidP="00B73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Черт. 3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35810" cy="3813175"/>
            <wp:effectExtent l="0" t="0" r="2540" b="0"/>
            <wp:docPr id="6" name="Рисунок 6" descr="http://www.docload.ru/Basesdoc/7/7402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cload.ru/Basesdoc/7/7402/x0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C0" w:rsidRPr="00B731C0" w:rsidRDefault="00B731C0" w:rsidP="00B73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Черт. 4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355215" cy="2562225"/>
            <wp:effectExtent l="0" t="0" r="6985" b="9525"/>
            <wp:docPr id="5" name="Рисунок 5" descr="http://www.docload.ru/Basesdoc/7/7402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cload.ru/Basesdoc/7/7402/x0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C0" w:rsidRPr="00B731C0" w:rsidRDefault="00B731C0" w:rsidP="00B73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Черт. 5</w:t>
      </w:r>
    </w:p>
    <w:p w:rsidR="00B731C0" w:rsidRPr="00B731C0" w:rsidRDefault="00B731C0" w:rsidP="00B731C0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 к черт. 1-5. Черт. 1-5 не определяют конструкцию поддонов.</w:t>
      </w:r>
    </w:p>
    <w:p w:rsidR="00B731C0" w:rsidRPr="00B731C0" w:rsidRDefault="00B731C0" w:rsidP="00B731C0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5" w:name="i51447"/>
      <w:r w:rsidRPr="00B731C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2. ТЕХНИЧЕСКИЕ ТРЕБОВАНИЯ</w:t>
      </w:r>
      <w:bookmarkEnd w:id="5"/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Поддоны должны изготавливать в соответствии с требованиями настоящего стандарта и технических условий на конкретный тип поддона по рабочим чертежам, утвержденным в установленном порядке.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Конструкцией поддонов должны обеспечиваться: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надежность и удобство в эксплуатации;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захвата их не менее как с двух сторон вилочными захватами, а поддонов, предназначенных для подвесных грузоопераций, стропами с подхватывающими балками;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 допустимая нагрузка без остаточной деформации равномерно распределенного груза при нахождении поддона на вилах транспортного средства в 10,0; 12,5; 20,0; 32,0 кН в зависимости от типоразмера поддона и дополнительная нагрузка, составляющая не менее трехкратной нагрузки при штабелировании.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Поверхность нижнего настила поддонов должна составлять не менее 40% от поверхности верхнего настила.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Деревянные детали поддонов должны изготовлять из пиломатериалов не ниже 2-го сорта хвойных пород по </w:t>
      </w:r>
      <w:hyperlink r:id="rId13" w:tooltip="Пиломатериалы хвойных пород. Технические условия.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8486-86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лиственных пород по </w:t>
      </w:r>
      <w:hyperlink r:id="rId14" w:tooltip="Пиломатериалы лиственных пород. Технические условия.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2695-83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Деревянные детали не должны иметь пороков древесины: тупого обзола более чем на одном ребре любой детали, острого обзола, механических повреждений, прорости, рака и инородных включений, а также пластовых трещин, расположенных от торцов досок более чем на 50 мм.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древесины не должна превышать 22%.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Каждая доска должна быть цельной. Сучки на наружных ребрах крайних досок нижнего настила и в местах установки крепежных деталей не допускаются.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Отверстия от сучков, выпавших при обработке досок, должны, заделывать пробками из древесины той же породы, что и доски, с применением водостойкого клея.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пробки - в пределах 19-20%.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Шашки должны быть цельными или состоять из двух частей, соединенных водостойким клеем.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Волокна древесины шашек должны располагаться вдоль поддона.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шашках и брусках не допускаются сердцевина, и двойная сердцевина.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При механизированном изготовлении поддонов в местах установки крепежных изделий в деревянных деталях допускаются местные деформации (единичные трещины и отколы), при условии обеспечения требований настоящего стандарта, в части испытаний на прочность.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Параметр шероховатости верхней поверхности верхнего настила поддона по ГОСТ 7016-82 – </w:t>
      </w:r>
      <w:r w:rsidRPr="00B7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Rz</w:t>
      </w:r>
      <w:r w:rsidRPr="00B731C0">
        <w:rPr>
          <w:rFonts w:ascii="Symbol" w:eastAsia="Times New Roman" w:hAnsi="Symbol" w:cs="Times New Roman"/>
          <w:color w:val="000000"/>
          <w:sz w:val="24"/>
          <w:szCs w:val="24"/>
          <w:lang w:val="en-US" w:eastAsia="ru-RU"/>
        </w:rPr>
        <w:t>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 мкм, остальных поверхностей - </w:t>
      </w:r>
      <w:r w:rsidRPr="00B7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Rz</w:t>
      </w:r>
      <w:r w:rsidRPr="00B731C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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1200 мкм.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2.10. Для облегчения ввода вилочных захватов на наружных ребрах нижнего настила поддона должна быть снята фаска размером не менее 10</w:t>
      </w:r>
      <w:r w:rsidRPr="00B731C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45° для деревянных поддонов и не более 10</w:t>
      </w:r>
      <w:r w:rsidRPr="00B731C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45° для поддонов из других материалов.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Металлические детали поддонов должны изготовлять из стали с временным сопротивлением не менее 370 МПа.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Типы и конструктивные элементы сварных соединений - по </w:t>
      </w:r>
      <w:hyperlink r:id="rId15" w:tooltip="Ручная дуговая сварка. Соединения сварные. Основные типы, конструктивные элементы и размеры.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5264-80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6" w:tooltip="Дуговая сварка в защитном газе. Соединения сварные. Основные типы, конструктивные элементы и размеры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14771-76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7" w:tooltip="Сварка под флюсом. Соединения сварные. Основные типы, конструктивные элементы и размеры.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8713-79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Проволока - стальная сварочная по </w:t>
      </w:r>
      <w:hyperlink r:id="rId18" w:tooltip="Проволока стальная сварочная. Технические условия.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2246-70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Электроды - типа Э42А по</w:t>
      </w:r>
      <w:hyperlink r:id="rId19" w:tooltip="Электроды покрытые металлические для ручной дуговой сварки конструкционных и теплоустойчивых сталей. Типы.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9467-75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i62444"/>
      <w:bookmarkStart w:id="7" w:name="i71286"/>
      <w:bookmarkEnd w:id="6"/>
      <w:bookmarkEnd w:id="7"/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 Все металлические детали должны быть очищены, загрунтованы или окрашены.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покрытия должна составлять не более 35 мкм; внешний вид покрытия - по VII классу </w:t>
      </w:r>
      <w:hyperlink r:id="rId20" w:tooltip="ЕСЗКС. Покрытия лакокрасочные. Группы, технические требования и обозначения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9.032-74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 условиям эксплуатации - по группе ХЛ2 </w:t>
      </w:r>
      <w:hyperlink r:id="rId21" w:tooltip="ЕСЗКС. Покрытия лакокрасочные. Группы условий эксплуатации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9.104-79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Детали из синтетических материалов должны быть стойкими в диапазоне температур от плюс 60 до минус 50°С.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i85727"/>
      <w:bookmarkStart w:id="9" w:name="i96110"/>
      <w:bookmarkEnd w:id="8"/>
      <w:bookmarkEnd w:id="9"/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 При сборке поддонов не допускаются: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предельное отклонение габаритных размеров более плюс 5 мм - для размеров 1200</w:t>
      </w:r>
      <w:r w:rsidRPr="00B7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 и более плюс 10 мм - для размеров свыше 1200 мм;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отклонение от параллельности поверхностей верхнего и нижнего настилов более 3 мм при длине поддона до 1200 мм и более 5 мм для остальных;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разность длин диагоналей верхней или нижней поверхности более 2 мм при длине поддона до 1200 мм и более 5 мм для остальных;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разность длин диагоналей поверхностей верхнего и нижнего настилов более 10 мм;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сквозные зазоры между соприкасающимися поверхностями деталей;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несквозные зазоры между соприкасающимися поверхностями деталей более 0,5 мм;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отколы, сквозные трещины, трещины в местах установки крепежных деталей.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Коэффициент тары не должен быть более: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0,045 - для деревянных поддонов;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0,08 -     » металлических       »</w:t>
      </w:r>
    </w:p>
    <w:p w:rsidR="00B731C0" w:rsidRPr="00B731C0" w:rsidRDefault="00B731C0" w:rsidP="00B731C0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10" w:name="i106026"/>
      <w:r w:rsidRPr="00B731C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3. ТРЕБОВАНИЯ БЕЗОПАСНОСТИ</w:t>
      </w:r>
      <w:bookmarkEnd w:id="10"/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Требования безопасности при выполнении погрузочно-разгрузочных, транспортных и складских работ с поддонами - по </w:t>
      </w:r>
      <w:hyperlink r:id="rId22" w:tooltip="ССБТ. Работы погрузочно-разгрузочные. Общие требования безопасности.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12.3.009-76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ГОСТ 12.3.010-82.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Требования безопасности при изготовлении поддонов - по </w:t>
      </w:r>
      <w:hyperlink r:id="rId23" w:tooltip="ССБТ. Процессы производственные. Общие требования безопасности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12.3.002-75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4" w:tooltip="ССБТ. Работы электросварочные. Требования безопасности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12.3.003-86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5" w:tooltip="ССБТ. Работы окрасочные. Общие требования безопасности.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12.3.005-75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1C0" w:rsidRPr="00B731C0" w:rsidRDefault="00B731C0" w:rsidP="00B731C0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11" w:name="i118532"/>
      <w:r w:rsidRPr="00B731C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4. ПРАВИЛА ПРИЕМКИ</w:t>
      </w:r>
      <w:bookmarkEnd w:id="11"/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 проверки соответствия поддонов требованиям настоящего стандарта предприятие-изготовитель должно проводить приемо-сдаточные и периодические испытания.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</w:t>
      </w:r>
      <w:r w:rsidRPr="00B731C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Приемо-сдаточные испытания.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4.2.1. В состав приемо-сдаточных испытаний должны входить: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 соответствие требованиям </w:t>
      </w:r>
      <w:hyperlink r:id="rId26" w:anchor="i62444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пп.</w:t>
        </w:r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 </w:t>
        </w:r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2.13</w:t>
        </w:r>
      </w:hyperlink>
      <w:bookmarkStart w:id="12" w:name="i125907"/>
      <w:bookmarkEnd w:id="12"/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7" w:anchor="i85727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2.15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испытания на изгиб и на прочность сборки поддонов.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При приемо-сдаточных испытаниях проверяют три поддона от каждой партии. Партией следует считать число поддонов одного типа и одного размера, одновременно сдаваемых на склад, но не более 100 поддонов.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испытании будут обнаружены поддоны, не соответствующие требованиям настоящего стандарта, то проводят повторные испытания удвоенного числа поддонов от данной партии.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повторных испытаний распространяют на всю партию.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</w:t>
      </w:r>
      <w:r w:rsidRPr="00B731C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Периодические испытания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проводить не реже одного раза в два года.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В состав периодических испытаний должны входить испытания на: изгиб; изгиб верхнего настила при штабелировании; изгиб нижнего настила при штабелировании; прочность сборки крайних элементов верхнего настила; прочность при подъеме стропами; прочность сборки.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4.3.2. Число поддонов, подвергаемых периодическим испытаниям, должно составлять не менее восьми для каждого конкретного типа из числа прошедших приемо-сдаточные испытания на соответствие </w:t>
      </w:r>
      <w:hyperlink r:id="rId28" w:anchor="i62444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пп. 2.13</w:t>
        </w:r>
      </w:hyperlink>
      <w:bookmarkStart w:id="13" w:name="i138142"/>
      <w:bookmarkEnd w:id="13"/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9" w:anchor="i85727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2.15</w:t>
        </w:r>
      </w:hyperlink>
      <w:bookmarkStart w:id="14" w:name="i143223"/>
      <w:bookmarkEnd w:id="14"/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Результаты периодических испытаний считают положительными, если все поддоны, подвергнутые испытаниям, соответствуют требованиям настоящего стандарта.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испытаниях будут обнаружены поддоны, не соответствующие требованиям настоящего стандарта, то проводят повторные испытания удвоенного числа поддонов от данной партии.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Результаты периодических испытаний оформляют протоколом по </w:t>
      </w:r>
      <w:hyperlink r:id="rId30" w:tooltip="Система разработки и постановки продукции на производство. Продукция производственно-технического назначения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15.001-88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(приложение 9).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4.3.5. Каждая партия поддонов должна сопровождаться документом, удостоверяющим соответствие качества поддонов требованиям настоящего стандарта и содержащим следующие данные: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условное обозначение поддонов;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составления документа;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выпуска;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поддонов в партии и номер партии;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приемо-сдаточных испытаний.</w:t>
      </w:r>
    </w:p>
    <w:p w:rsidR="00B731C0" w:rsidRPr="00B731C0" w:rsidRDefault="00B731C0" w:rsidP="00B731C0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15" w:name="i156012"/>
      <w:r w:rsidRPr="00B731C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5. МЕТОДЫ ИСПЫТАНИЙ</w:t>
      </w:r>
      <w:bookmarkEnd w:id="15"/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Размеры поддонов, указанные в </w:t>
      </w:r>
      <w:hyperlink r:id="rId31" w:anchor="i85727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п.</w:t>
        </w:r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 </w:t>
        </w:r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2.15</w:t>
        </w:r>
      </w:hyperlink>
      <w:bookmarkStart w:id="16" w:name="i161392"/>
      <w:bookmarkEnd w:id="16"/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проверять измерительным инструментом с погрешностью до 1 мм.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Качество сварных соединений следует проверять по </w:t>
      </w:r>
      <w:hyperlink r:id="rId32" w:tooltip="Соединения сварные. Методы контроля качества.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3242-79</w:t>
        </w:r>
      </w:hyperlink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Влажность деревянных деталей следует определять по ГОСТ 16483.7-71.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Шероховатость поверхности деревянных деталей следует проверять по </w:t>
      </w:r>
      <w:hyperlink r:id="rId33" w:tooltip="Изделия из древесины и древесных материалов. Методы определения параметров шероховатости поверхности.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15612-85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Испытания должны проводить по методике, приведенной в </w:t>
      </w:r>
      <w:hyperlink r:id="rId34" w:anchor="i212416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приложении 1</w:t>
        </w:r>
      </w:hyperlink>
      <w:bookmarkStart w:id="17" w:name="i178495"/>
      <w:bookmarkEnd w:id="17"/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1C0" w:rsidRPr="00B731C0" w:rsidRDefault="00B731C0" w:rsidP="00B731C0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18" w:name="i186012"/>
      <w:r w:rsidRPr="00B731C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6. МАРКИРОВКА, УПАКОВКА, ТРАНСПОРТИРОВАНИЕ И ХРАНЕНИЕ</w:t>
      </w:r>
      <w:bookmarkEnd w:id="18"/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Поддоны должны иметь маркировку предприятия-изготовителя с указанием следующих данных: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товарного знака предприятия-изготовителя;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изготовления;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условного обозначения поддона;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массы поддона в килограммах;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массы брутто в тоннах.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Маркировка должна быть нанесена на двух продольных сторонах.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Способы нанесения маркировки, размеры маркировочных ярлыков - по ГОСТ 14192-77.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Транспортирование поддонов - по группе условий хранения Ж3 </w:t>
      </w:r>
      <w:hyperlink r:id="rId35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15150-69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любым видом транспорта в соответствии с правилами перевозок грузов, действующих на каждом виде транспорта.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При транспортировании и погрузочно-разгрузочных работах поддоны собирают в пакеты, уложенные один на другой, и скрепляют продольными и поперечными обвязками из упаковочной ленты.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Хранение поддонов - по группе условий хранения Ж2 </w:t>
      </w:r>
      <w:hyperlink r:id="rId36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15150-69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Допускается транспортирование поддонов в открытом транспорте и кратковременное хранение их на открытых складских площадках, при этом поддоны должны быть укрыты брезентом или другим влагонепроницаемым материалом.</w:t>
      </w:r>
    </w:p>
    <w:p w:rsidR="00B731C0" w:rsidRPr="00B731C0" w:rsidRDefault="00B731C0" w:rsidP="00B731C0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19" w:name="i195301"/>
      <w:r w:rsidRPr="00B731C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7. УКАЗАНИЯ ПО ЭКСПЛУАТАЦИИ</w:t>
      </w:r>
      <w:bookmarkEnd w:id="19"/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Погрузку, выгрузку и перемещение как загруженных, так и порожних поддонов должны производить грузозахватными приспособлениями, обеспечивающими жесткую опору по всей ширине поддона.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Запрещается подвергать поддоны ударным воздействиям.</w:t>
      </w:r>
    </w:p>
    <w:p w:rsidR="00B731C0" w:rsidRPr="00B731C0" w:rsidRDefault="00B731C0" w:rsidP="00B731C0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20" w:name="i202942"/>
      <w:r w:rsidRPr="00B731C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8. ГАРАНТИИ ИЗГОТОВИТЕЛЯ</w:t>
      </w:r>
      <w:bookmarkEnd w:id="20"/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Изготовитель гарантирует соответствие поддонов требованиям настоящего стандарта при соблюдении потребителем условий эксплуатации, хранения, транспортирования.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Гарантийный срок эксплуатации устанавливается в технических условиях на поддон конкретного типа и должен быть не менее 2 лет со дня ввода в эксплуатацию.</w:t>
      </w:r>
    </w:p>
    <w:p w:rsidR="00B731C0" w:rsidRPr="00B731C0" w:rsidRDefault="00B731C0" w:rsidP="00B731C0">
      <w:pPr>
        <w:shd w:val="clear" w:color="auto" w:fill="FFFFFF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21" w:name="i212416"/>
      <w:bookmarkStart w:id="22" w:name="i226049"/>
      <w:bookmarkStart w:id="23" w:name="i237250"/>
      <w:bookmarkEnd w:id="21"/>
      <w:bookmarkEnd w:id="22"/>
      <w:bookmarkEnd w:id="23"/>
      <w:r w:rsidRPr="00B731C0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>ПРИЛОЖЕНИЕ 1</w:t>
      </w:r>
      <w:r w:rsidRPr="00B731C0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br/>
        <w:t>Обязательное</w:t>
      </w:r>
    </w:p>
    <w:p w:rsidR="00B731C0" w:rsidRPr="00B731C0" w:rsidRDefault="00B731C0" w:rsidP="00B731C0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24" w:name="i244559"/>
      <w:r w:rsidRPr="00B731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МЕТОДИКА ИСПЫТАНИЙ ПЛОСКИХ ПОДДОНОВ</w:t>
      </w:r>
      <w:bookmarkEnd w:id="24"/>
    </w:p>
    <w:p w:rsidR="00B731C0" w:rsidRPr="00B731C0" w:rsidRDefault="00B731C0" w:rsidP="00B731C0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5" w:name="i256254"/>
      <w:bookmarkStart w:id="26" w:name="i263239"/>
      <w:bookmarkEnd w:id="25"/>
      <w:bookmarkEnd w:id="26"/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Испытание на изгиб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испытанием наносят контрольную раскерновку по длине поддона и измеряют размеры </w:t>
      </w:r>
      <w:r w:rsidRPr="00B7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B7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 (</w:t>
      </w:r>
      <w:hyperlink r:id="rId37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черт.</w:t>
        </w:r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 </w:t>
        </w:r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1</w:t>
        </w:r>
      </w:hyperlink>
      <w:bookmarkStart w:id="27" w:name="i275271"/>
      <w:bookmarkStart w:id="28" w:name="i282617"/>
      <w:bookmarkEnd w:id="27"/>
      <w:bookmarkEnd w:id="28"/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Поддон устанавливают нижней поверхностью верхнего настила на две горизонтальные опоры, параллельные ширине поддона.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Ширина опор должна быть 50 мм, длина - больше ширины поддона.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Опоры следует размещать вплотную к крайним шашкам поддона, внутри - для поддонов без выступов (</w:t>
      </w:r>
      <w:hyperlink r:id="rId38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черт. 1, а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снаружи - для .поддонов с выступами (</w:t>
      </w:r>
      <w:hyperlink r:id="rId39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черт. 1, б</w:t>
        </w:r>
      </w:hyperlink>
      <w:bookmarkStart w:id="29" w:name="i291040"/>
      <w:bookmarkEnd w:id="29"/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i304011"/>
      <w:bookmarkEnd w:id="3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89145" cy="2449830"/>
            <wp:effectExtent l="0" t="0" r="1905" b="7620"/>
            <wp:docPr id="4" name="Рисунок 4" descr="http://www.docload.ru/Basesdoc/7/7402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cload.ru/Basesdoc/7/7402/x014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C0" w:rsidRPr="00B731C0" w:rsidRDefault="00B731C0" w:rsidP="00B731C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1" w:name="i317515"/>
      <w:bookmarkEnd w:id="31"/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Черт. 1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середину верхнего настила поддона параллельно его ширине следует укладывать брус. Ширина бруса должна быть 100 мм, длина - больше ширины поддона. Через брус прикладывают в течение 30 мин. нагрузку </w:t>
      </w:r>
      <w:r w:rsidRPr="00B7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равную массе брутто поддона, после чего под брусом должно быть измерено значение прогиба верхнего настила.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Опоры и брус, воспринимающие и передающие нагрузку, не должны иметь при испытании деформаций, искажающих результаты испытаний.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снятия нагрузки должно быть измерено значение остаточного прогиба.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четырехзаходных поддонов проводят дополнительное испытание в том же порядке при расположении опор и бруса параллельно длине поддона.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испытаний считают удовлетворительными, если: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прогиб верхнего настила под нагрузкой в любом месте не более 1,8% длины </w:t>
      </w:r>
      <w:r w:rsidRPr="00B7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поддонов без выступов и 1,5% длины </w:t>
      </w:r>
      <w:r w:rsidRPr="00B7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поддонов с выступами;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остаточный прогиб верхнего настила после снятия нагрузки не более 0,3% длины </w:t>
      </w:r>
      <w:r w:rsidRPr="00B7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повреждения, поломок деталей или нарушений прочности их соединения.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2" w:name="i326342"/>
      <w:bookmarkStart w:id="33" w:name="i336073"/>
      <w:bookmarkEnd w:id="32"/>
      <w:bookmarkEnd w:id="33"/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Испытание на изгиб верхнего настила при штабелировании (черт. 2)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89145" cy="1673225"/>
            <wp:effectExtent l="0" t="0" r="1905" b="3175"/>
            <wp:docPr id="3" name="Рисунок 3" descr="http://www.docload.ru/Basesdoc/7/7402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ocload.ru/Basesdoc/7/7402/x01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C0" w:rsidRPr="00B731C0" w:rsidRDefault="00B731C0" w:rsidP="00B731C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Черт. 2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Поддон, подготовленный к испытанию по </w:t>
      </w:r>
      <w:hyperlink r:id="rId42" w:anchor="i256254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п</w:t>
        </w:r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 </w:t>
        </w:r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1</w:t>
        </w:r>
      </w:hyperlink>
      <w:bookmarkStart w:id="34" w:name="i345549"/>
      <w:bookmarkEnd w:id="34"/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устанавливать нижним настилом на горизонтальную плоскость.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верхний настил поддона над серединами проемов укладывают параллельно ширине поддона два деревянных бруска шириной 50 мм и длиной больше ширины поддона, к которым прикладывают нагрузку, равную 2,5 </w:t>
      </w:r>
      <w:r w:rsidRPr="00B7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Р,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выдерживают ее 30 мин. Затем измеряют значение прогиба верхнего настила, при этом к каждому бруску прикладывают нагрузку, равную 1,25 </w:t>
      </w:r>
      <w:r w:rsidRPr="00B7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Р,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 распределенную по ширине и длине.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Бруски, передающие нагрузку, не должны иметь при испытании деформаций, искажающих результаты испытаний.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нагрузку снимают и измеряют значение остаточного прогиба верхнего настила.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испытания считают удовлетворительными, если: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прогиб верхнего настила под нагрузкой в любом месте не более 2% расстояния между средними и крайними шашками;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остаточный прогиб верхнего настила после снятия нагрузки не более 0,5% расстояния между средними и крайними шашками;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повреждений или поломок деталей.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Испытание на изгиб нижнего настила при штабелировании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Поддон устанавливают верхним настилом на горизонтальную плоскость, Порядок проведения и оценка результатов испытания нижнего настила те же, что и при испытании верхнего настила (</w:t>
      </w:r>
      <w:hyperlink r:id="rId43" w:anchor="i326342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см.</w:t>
        </w:r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 </w:t>
        </w:r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п. 2</w:t>
        </w:r>
      </w:hyperlink>
      <w:bookmarkStart w:id="35" w:name="i355187"/>
      <w:bookmarkEnd w:id="35"/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поддонов с одинаковыми верхним и нижним настилами нагрузка при испытании должна быть равна 2,5 </w:t>
      </w:r>
      <w:r w:rsidRPr="00B7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Р,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поддонов с окнами в нижнем настиле - 1,8 </w:t>
      </w:r>
      <w:r w:rsidRPr="00B7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Испытание прочности сборки крайних элементов верхнего настила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Поддон устанавливают верхним настилом на ровную горизонтальную плоскость так, чтобы подлежащий испытанию элемент находился на весу.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Нагрузку 0,7 </w:t>
      </w:r>
      <w:r w:rsidRPr="00B7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прикладывают через две скобы шириной 50 мм на расстоянии 1/6 от краев поддона строго по середине ширины испытываемого элемента и выдерживают в течение 30 мин. (черт. 3).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15540" cy="3044825"/>
            <wp:effectExtent l="0" t="0" r="3810" b="3175"/>
            <wp:docPr id="2" name="Рисунок 2" descr="http://www.docload.ru/Basesdoc/7/7402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cload.ru/Basesdoc/7/7402/x018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C0" w:rsidRPr="00B731C0" w:rsidRDefault="00B731C0" w:rsidP="00B731C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Черт. 3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испытания считают удовлетворительными, если после снятия нагрузки отсутствуют признаки нарушения крепления элементов или их повреждения.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поддонов с одинаковыми верхним и нижним настилами испытанию следует подвергать элементы обоих настилов.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Испытание на прочность при подъеме стропами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Поддон устанавливают нижним настилом на горизонтальную площадку и нагружают до значения, равного 1,25 массы брутто поддона.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производят подъем загруженного поддона за выступы при помощи строп с подхватывающими балками на высоту 200-300 мм.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таком положении поддон выдерживают не менее 10 мин, одновременно наблюдая за состоянием его конструкций. Затем поддон опускают на площадку, разгружают и осматривают.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испытания считают удовлетворительными, если: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обнаружены остаточные деформации;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повреждения деталей и нарушения прочности соединений.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Испытание на прочность сборки (падение на угол вертикально подвешенного поддона)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 проводят с целью определения жесткости незагруженного поддона (за исключением поддонов с выступами) и его сопротивления угловому удару, действующему в плоскости поддона.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Поддон подвешивают за один из четырех углов так, чтобы нижний угол, подвергаемый удару, находился на одной вертикали с подвешиваемым углом на высоте 1000 мм от бетонной или металлической плиты (</w:t>
      </w:r>
      <w:hyperlink r:id="rId45" w:anchor="i361854" w:history="1">
        <w:r w:rsidRPr="00B731C0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черт. 4</w:t>
        </w:r>
      </w:hyperlink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Поддон освобождают и дают ему возможность свободно упасть точно на угол. После удара поддон удерживают для того, чтобы предотвратить второе его падение.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проводят шесть раз с падением поддона на один и тот же угол.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испытания считают удовлетворительными, если: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поломок деталей поддона;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диагонали поддона после испытаний не более чем на 2,5% - для поддонов размерами в плане 800</w:t>
      </w:r>
      <w:r w:rsidRPr="00B731C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1200 и 1000</w:t>
      </w:r>
      <w:r w:rsidRPr="00B731C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1200 мм и не более чем на 3,5% - для поддонов размерами в плане, 1200</w:t>
      </w:r>
      <w:r w:rsidRPr="00B731C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1600 и 1200</w:t>
      </w:r>
      <w:r w:rsidRPr="00B731C0">
        <w:rPr>
          <w:rFonts w:ascii="Symbol" w:eastAsia="Times New Roman" w:hAnsi="Symbol" w:cs="Times New Roman"/>
          <w:color w:val="000000"/>
          <w:sz w:val="24"/>
          <w:szCs w:val="24"/>
          <w:lang w:val="en-US" w:eastAsia="ru-RU"/>
        </w:rPr>
        <w:t>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1800 мм ее первоначальной длины. Измерения </w:t>
      </w: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диагонали после испытания проводят по заранее нанесенным контрольным точкам, расположенным вне зоны повреждения угла.</w:t>
      </w:r>
    </w:p>
    <w:p w:rsidR="00B731C0" w:rsidRPr="00B731C0" w:rsidRDefault="00B731C0" w:rsidP="00B731C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 деформации около угла, на который падает поддон, во внимание не принимают, если они находятся на расстоянии не более 50 мм от угла.</w:t>
      </w:r>
    </w:p>
    <w:p w:rsidR="00B731C0" w:rsidRPr="00B731C0" w:rsidRDefault="00B731C0" w:rsidP="00B731C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29940" cy="3200400"/>
            <wp:effectExtent l="0" t="0" r="3810" b="0"/>
            <wp:docPr id="1" name="Рисунок 1" descr="http://www.docload.ru/Basesdoc/7/7402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cload.ru/Basesdoc/7/7402/x020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C0" w:rsidRPr="00B731C0" w:rsidRDefault="00B731C0" w:rsidP="00B731C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6" w:name="i361854"/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Черт. 4</w:t>
      </w:r>
      <w:bookmarkEnd w:id="36"/>
    </w:p>
    <w:p w:rsidR="00B731C0" w:rsidRPr="00B731C0" w:rsidRDefault="00B731C0" w:rsidP="00B731C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3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B731C0" w:rsidRPr="00B731C0" w:rsidTr="00B731C0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C0" w:rsidRPr="00B731C0" w:rsidRDefault="00686E13" w:rsidP="00B731C0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i14202" w:history="1">
              <w:r w:rsidR="00B731C0" w:rsidRPr="00B731C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1. </w:t>
              </w:r>
              <w:r w:rsidR="00B731C0" w:rsidRPr="00B731C0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lang w:eastAsia="ru-RU"/>
                </w:rPr>
                <w:t>Т</w:t>
              </w:r>
              <w:r w:rsidR="00B731C0" w:rsidRPr="00B731C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ипы, основные параметры и размеры</w:t>
              </w:r>
            </w:hyperlink>
          </w:p>
          <w:p w:rsidR="00B731C0" w:rsidRPr="00B731C0" w:rsidRDefault="00686E13" w:rsidP="00B731C0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i51447" w:history="1">
              <w:r w:rsidR="00B731C0" w:rsidRPr="00B731C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2. Технические требования</w:t>
              </w:r>
            </w:hyperlink>
          </w:p>
          <w:p w:rsidR="00B731C0" w:rsidRPr="00B731C0" w:rsidRDefault="00686E13" w:rsidP="00B731C0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i106026" w:history="1">
              <w:r w:rsidR="00B731C0" w:rsidRPr="00B731C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3. Требования безопасности</w:t>
              </w:r>
            </w:hyperlink>
          </w:p>
          <w:p w:rsidR="00B731C0" w:rsidRPr="00B731C0" w:rsidRDefault="00686E13" w:rsidP="00B731C0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i118532" w:history="1">
              <w:r w:rsidR="00B731C0" w:rsidRPr="00B731C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 Правила приемки</w:t>
              </w:r>
            </w:hyperlink>
          </w:p>
          <w:p w:rsidR="00B731C0" w:rsidRPr="00B731C0" w:rsidRDefault="00686E13" w:rsidP="00B731C0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i156012" w:history="1">
              <w:r w:rsidR="00B731C0" w:rsidRPr="00B731C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5. Методы испытаний</w:t>
              </w:r>
            </w:hyperlink>
          </w:p>
          <w:p w:rsidR="00B731C0" w:rsidRPr="00B731C0" w:rsidRDefault="00686E13" w:rsidP="00B731C0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i186012" w:history="1">
              <w:r w:rsidR="00B731C0" w:rsidRPr="00B731C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6. Маркировка, упаковка, транспортирование и хранение</w:t>
              </w:r>
            </w:hyperlink>
          </w:p>
          <w:p w:rsidR="00B731C0" w:rsidRPr="00B731C0" w:rsidRDefault="00686E13" w:rsidP="00B731C0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i195301" w:history="1">
              <w:r w:rsidR="00B731C0" w:rsidRPr="00B731C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7. Указания по эксплуатации</w:t>
              </w:r>
            </w:hyperlink>
          </w:p>
          <w:p w:rsidR="00B731C0" w:rsidRPr="00B731C0" w:rsidRDefault="00686E13" w:rsidP="00B731C0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i202942" w:history="1">
              <w:r w:rsidR="00B731C0" w:rsidRPr="00B731C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8. Гарантии изготовителя</w:t>
              </w:r>
            </w:hyperlink>
          </w:p>
          <w:p w:rsidR="00B731C0" w:rsidRPr="00B731C0" w:rsidRDefault="00686E13" w:rsidP="00B731C0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i226049" w:history="1">
              <w:r w:rsidR="00B731C0" w:rsidRPr="00B731C0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24"/>
                  <w:szCs w:val="24"/>
                  <w:u w:val="single"/>
                  <w:lang w:eastAsia="ru-RU"/>
                </w:rPr>
                <w:t>Приложение 1 обязательное </w:t>
              </w:r>
              <w:r w:rsidR="00B731C0" w:rsidRPr="00B731C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Методика испытаний плоских поддонов</w:t>
              </w:r>
            </w:hyperlink>
          </w:p>
        </w:tc>
      </w:tr>
    </w:tbl>
    <w:p w:rsidR="00474F8B" w:rsidRDefault="00474F8B"/>
    <w:sectPr w:rsidR="00474F8B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C0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86E13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31C0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731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1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basedOn w:val="a"/>
    <w:rsid w:val="00B7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B7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1C0"/>
  </w:style>
  <w:style w:type="paragraph" w:styleId="2">
    <w:name w:val="Body Text Indent 2"/>
    <w:basedOn w:val="a"/>
    <w:link w:val="20"/>
    <w:uiPriority w:val="99"/>
    <w:semiHidden/>
    <w:unhideWhenUsed/>
    <w:rsid w:val="00B7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3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7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73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31C0"/>
  </w:style>
  <w:style w:type="paragraph" w:styleId="a6">
    <w:name w:val="caption"/>
    <w:basedOn w:val="a"/>
    <w:uiPriority w:val="35"/>
    <w:qFormat/>
    <w:rsid w:val="00B7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B7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731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1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basedOn w:val="a"/>
    <w:rsid w:val="00B7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B7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1C0"/>
  </w:style>
  <w:style w:type="paragraph" w:styleId="2">
    <w:name w:val="Body Text Indent 2"/>
    <w:basedOn w:val="a"/>
    <w:link w:val="20"/>
    <w:uiPriority w:val="99"/>
    <w:semiHidden/>
    <w:unhideWhenUsed/>
    <w:rsid w:val="00B7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3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7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73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31C0"/>
  </w:style>
  <w:style w:type="paragraph" w:styleId="a6">
    <w:name w:val="caption"/>
    <w:basedOn w:val="a"/>
    <w:uiPriority w:val="35"/>
    <w:qFormat/>
    <w:rsid w:val="00B7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B7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cload.ru/Basesdoc/4/4363/index.htm" TargetMode="External"/><Relationship Id="rId18" Type="http://schemas.openxmlformats.org/officeDocument/2006/relationships/hyperlink" Target="http://www.docload.ru/Basesdoc/3/3903/index.htm" TargetMode="External"/><Relationship Id="rId26" Type="http://schemas.openxmlformats.org/officeDocument/2006/relationships/hyperlink" Target="http://www.docload.ru/Basesdoc/7/7402/index.htm" TargetMode="External"/><Relationship Id="rId39" Type="http://schemas.openxmlformats.org/officeDocument/2006/relationships/hyperlink" Target="http://www.docload.ru/Basesdoc/7/7402/index.htm" TargetMode="External"/><Relationship Id="rId21" Type="http://schemas.openxmlformats.org/officeDocument/2006/relationships/hyperlink" Target="http://www.docload.ru/Basesdoc/6/6325/index.htm" TargetMode="External"/><Relationship Id="rId34" Type="http://schemas.openxmlformats.org/officeDocument/2006/relationships/hyperlink" Target="http://www.docload.ru/Basesdoc/7/7402/index.htm" TargetMode="External"/><Relationship Id="rId42" Type="http://schemas.openxmlformats.org/officeDocument/2006/relationships/hyperlink" Target="http://www.docload.ru/Basesdoc/7/7402/index.htm" TargetMode="External"/><Relationship Id="rId47" Type="http://schemas.openxmlformats.org/officeDocument/2006/relationships/hyperlink" Target="http://www.docload.ru/Basesdoc/7/7402/index.htm" TargetMode="External"/><Relationship Id="rId50" Type="http://schemas.openxmlformats.org/officeDocument/2006/relationships/hyperlink" Target="http://www.docload.ru/Basesdoc/7/7402/index.htm" TargetMode="External"/><Relationship Id="rId55" Type="http://schemas.openxmlformats.org/officeDocument/2006/relationships/hyperlink" Target="http://www.docload.ru/Basesdoc/7/7402/index.htm" TargetMode="External"/><Relationship Id="rId7" Type="http://schemas.openxmlformats.org/officeDocument/2006/relationships/hyperlink" Target="http://www.docload.ru/Basesdoc/7/7402/index.htm" TargetMode="External"/><Relationship Id="rId12" Type="http://schemas.openxmlformats.org/officeDocument/2006/relationships/image" Target="media/image6.gif"/><Relationship Id="rId17" Type="http://schemas.openxmlformats.org/officeDocument/2006/relationships/hyperlink" Target="http://www.docload.ru/Basesdoc/3/3974/index.htm" TargetMode="External"/><Relationship Id="rId25" Type="http://schemas.openxmlformats.org/officeDocument/2006/relationships/hyperlink" Target="http://www.docload.ru/Basesdoc/4/4683/index.htm" TargetMode="External"/><Relationship Id="rId33" Type="http://schemas.openxmlformats.org/officeDocument/2006/relationships/hyperlink" Target="http://www.docload.ru/Basesdoc/4/4410/index.htm" TargetMode="External"/><Relationship Id="rId38" Type="http://schemas.openxmlformats.org/officeDocument/2006/relationships/hyperlink" Target="http://www.docload.ru/Basesdoc/7/7402/index.htm" TargetMode="External"/><Relationship Id="rId46" Type="http://schemas.openxmlformats.org/officeDocument/2006/relationships/image" Target="media/image10.gif"/><Relationship Id="rId2" Type="http://schemas.microsoft.com/office/2007/relationships/stylesWithEffects" Target="stylesWithEffects.xml"/><Relationship Id="rId16" Type="http://schemas.openxmlformats.org/officeDocument/2006/relationships/hyperlink" Target="http://www.docload.ru/Basesdoc/6/6223/index.htm" TargetMode="External"/><Relationship Id="rId20" Type="http://schemas.openxmlformats.org/officeDocument/2006/relationships/hyperlink" Target="http://www.docload.ru/Basesdoc/6/6322/index.htm" TargetMode="External"/><Relationship Id="rId29" Type="http://schemas.openxmlformats.org/officeDocument/2006/relationships/hyperlink" Target="http://www.docload.ru/Basesdoc/7/7402/index.htm" TargetMode="External"/><Relationship Id="rId41" Type="http://schemas.openxmlformats.org/officeDocument/2006/relationships/image" Target="media/image8.gif"/><Relationship Id="rId54" Type="http://schemas.openxmlformats.org/officeDocument/2006/relationships/hyperlink" Target="http://www.docload.ru/Basesdoc/7/7402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load.ru/Basesdoc/7/7402/index.htm" TargetMode="External"/><Relationship Id="rId11" Type="http://schemas.openxmlformats.org/officeDocument/2006/relationships/image" Target="media/image5.gif"/><Relationship Id="rId24" Type="http://schemas.openxmlformats.org/officeDocument/2006/relationships/hyperlink" Target="http://www.docload.ru/Basesdoc/7/7136/index.htm" TargetMode="External"/><Relationship Id="rId32" Type="http://schemas.openxmlformats.org/officeDocument/2006/relationships/hyperlink" Target="http://www.docload.ru/Basesdoc/3/3912/index.htm" TargetMode="External"/><Relationship Id="rId37" Type="http://schemas.openxmlformats.org/officeDocument/2006/relationships/hyperlink" Target="http://www.docload.ru/Basesdoc/7/7402/index.htm" TargetMode="External"/><Relationship Id="rId40" Type="http://schemas.openxmlformats.org/officeDocument/2006/relationships/image" Target="media/image7.gif"/><Relationship Id="rId45" Type="http://schemas.openxmlformats.org/officeDocument/2006/relationships/hyperlink" Target="http://www.docload.ru/Basesdoc/7/7402/index.htm" TargetMode="External"/><Relationship Id="rId53" Type="http://schemas.openxmlformats.org/officeDocument/2006/relationships/hyperlink" Target="http://www.docload.ru/Basesdoc/7/7402/index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ocload.ru/Basesdoc/3/3930/index.htm" TargetMode="External"/><Relationship Id="rId23" Type="http://schemas.openxmlformats.org/officeDocument/2006/relationships/hyperlink" Target="http://www.docload.ru/Basesdoc/7/7589/index.htm" TargetMode="External"/><Relationship Id="rId28" Type="http://schemas.openxmlformats.org/officeDocument/2006/relationships/hyperlink" Target="http://www.docload.ru/Basesdoc/7/7402/index.htm" TargetMode="External"/><Relationship Id="rId36" Type="http://schemas.openxmlformats.org/officeDocument/2006/relationships/hyperlink" Target="http://www.docload.ru/Basesdoc/4/4107/index.htm" TargetMode="External"/><Relationship Id="rId49" Type="http://schemas.openxmlformats.org/officeDocument/2006/relationships/hyperlink" Target="http://www.docload.ru/Basesdoc/7/7402/index.htm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http://www.docload.ru/Basesdoc/3/3997/index.htm" TargetMode="External"/><Relationship Id="rId31" Type="http://schemas.openxmlformats.org/officeDocument/2006/relationships/hyperlink" Target="http://www.docload.ru/Basesdoc/7/7402/index.htm" TargetMode="External"/><Relationship Id="rId44" Type="http://schemas.openxmlformats.org/officeDocument/2006/relationships/image" Target="media/image9.gif"/><Relationship Id="rId52" Type="http://schemas.openxmlformats.org/officeDocument/2006/relationships/hyperlink" Target="http://www.docload.ru/Basesdoc/7/7402/index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docload.ru/Basesdoc/4/4340/index.htm" TargetMode="External"/><Relationship Id="rId22" Type="http://schemas.openxmlformats.org/officeDocument/2006/relationships/hyperlink" Target="http://www.docload.ru/Basesdoc/4/4685/index.htm" TargetMode="External"/><Relationship Id="rId27" Type="http://schemas.openxmlformats.org/officeDocument/2006/relationships/hyperlink" Target="http://www.docload.ru/Basesdoc/7/7402/index.htm" TargetMode="External"/><Relationship Id="rId30" Type="http://schemas.openxmlformats.org/officeDocument/2006/relationships/hyperlink" Target="http://www.docload.ru/Basesdoc/6/6051/index.htm" TargetMode="External"/><Relationship Id="rId35" Type="http://schemas.openxmlformats.org/officeDocument/2006/relationships/hyperlink" Target="http://www.docload.ru/Basesdoc/4/4107/index.htm" TargetMode="External"/><Relationship Id="rId43" Type="http://schemas.openxmlformats.org/officeDocument/2006/relationships/hyperlink" Target="http://www.docload.ru/Basesdoc/7/7402/index.htm" TargetMode="External"/><Relationship Id="rId48" Type="http://schemas.openxmlformats.org/officeDocument/2006/relationships/hyperlink" Target="http://www.docload.ru/Basesdoc/7/7402/index.htm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gif"/><Relationship Id="rId51" Type="http://schemas.openxmlformats.org/officeDocument/2006/relationships/hyperlink" Target="http://www.docload.ru/Basesdoc/7/7402/index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3300</Words>
  <Characters>18813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2012-12-12T06:44:00Z</dcterms:created>
  <dcterms:modified xsi:type="dcterms:W3CDTF">2012-12-12T06:44:00Z</dcterms:modified>
</cp:coreProperties>
</file>